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7C91" w14:textId="77777777" w:rsidR="005F5258" w:rsidRDefault="005F5258" w:rsidP="005F5258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inherit" w:hAnsi="inherit"/>
          <w:b/>
          <w:bCs/>
          <w:color w:val="00B8E4"/>
          <w:sz w:val="44"/>
          <w:szCs w:val="36"/>
        </w:rPr>
        <w:t xml:space="preserve">Bezpieczeństwo oszczędności </w:t>
      </w:r>
    </w:p>
    <w:p w14:paraId="4595B319" w14:textId="77777777" w:rsidR="005F5258" w:rsidRDefault="005F5258" w:rsidP="005F5258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en-GB"/>
        </w:rPr>
      </w:pPr>
    </w:p>
    <w:p w14:paraId="1B0499A1" w14:textId="2CA318F7" w:rsidR="005F5258" w:rsidRPr="005F5258" w:rsidRDefault="005F5258" w:rsidP="005F5258">
      <w:pPr>
        <w:spacing w:after="0" w:line="240" w:lineRule="auto"/>
        <w:rPr>
          <w:rFonts w:ascii="Arial" w:eastAsia="Times New Roman" w:hAnsi="Arial" w:cs="Arial"/>
          <w:bCs/>
          <w:sz w:val="30"/>
          <w:szCs w:val="30"/>
        </w:rPr>
      </w:pPr>
      <w:r>
        <w:rPr>
          <w:rFonts w:ascii="Arial" w:hAnsi="Arial"/>
          <w:bCs/>
          <w:sz w:val="30"/>
          <w:szCs w:val="30"/>
        </w:rPr>
        <w:t xml:space="preserve">Program </w:t>
      </w:r>
      <w:r>
        <w:rPr>
          <w:rFonts w:ascii="Arial" w:hAnsi="Arial"/>
          <w:bCs/>
          <w:i/>
          <w:iCs/>
          <w:sz w:val="30"/>
          <w:szCs w:val="30"/>
        </w:rPr>
        <w:t>The People’s Pension Scheme</w:t>
      </w:r>
      <w:r>
        <w:rPr>
          <w:rFonts w:ascii="Arial" w:hAnsi="Arial"/>
          <w:bCs/>
          <w:sz w:val="30"/>
          <w:szCs w:val="30"/>
        </w:rPr>
        <w:t xml:space="preserve"> to składkowy pracowniczy system emerytalny. Program oferowany jest przez firmę People’s Financial Services Limited. Wchodzi ona w skład Grupy </w:t>
      </w:r>
      <w:proofErr w:type="spellStart"/>
      <w:r w:rsidR="00B109BA">
        <w:rPr>
          <w:rFonts w:ascii="Arial" w:hAnsi="Arial"/>
          <w:bCs/>
          <w:sz w:val="30"/>
          <w:szCs w:val="30"/>
        </w:rPr>
        <w:t>People’s</w:t>
      </w:r>
      <w:proofErr w:type="spellEnd"/>
      <w:r w:rsidR="00B109BA">
        <w:rPr>
          <w:rFonts w:ascii="Arial" w:hAnsi="Arial"/>
          <w:bCs/>
          <w:sz w:val="30"/>
          <w:szCs w:val="30"/>
        </w:rPr>
        <w:t xml:space="preserve"> </w:t>
      </w:r>
      <w:proofErr w:type="spellStart"/>
      <w:r w:rsidR="00B109BA">
        <w:rPr>
          <w:rFonts w:ascii="Arial" w:hAnsi="Arial"/>
          <w:bCs/>
          <w:sz w:val="30"/>
          <w:szCs w:val="30"/>
        </w:rPr>
        <w:t>Partnership</w:t>
      </w:r>
      <w:proofErr w:type="spellEnd"/>
      <w:r>
        <w:rPr>
          <w:rFonts w:ascii="Arial" w:hAnsi="Arial"/>
          <w:bCs/>
          <w:sz w:val="30"/>
          <w:szCs w:val="30"/>
        </w:rPr>
        <w:t>. Jest to grupa o charakterze niezarobkowym, która zrzesza przedsiębiorstwa dostarczające produkty finansowe i świadczenia dla osób pracujących. Twój pracodawca jest jednym z wielu, który używa tego Programu jako zakładowego systemu emerytalnego.</w:t>
      </w:r>
    </w:p>
    <w:p w14:paraId="1A867D46" w14:textId="77777777" w:rsidR="005F5258" w:rsidRPr="005F5258" w:rsidRDefault="005F5258" w:rsidP="005F525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br/>
      </w:r>
      <w:hyperlink r:id="rId5" w:history="1">
        <w:r>
          <w:rPr>
            <w:rFonts w:ascii="Arial" w:hAnsi="Arial"/>
            <w:b/>
            <w:bCs/>
            <w:color w:val="800080"/>
            <w:sz w:val="30"/>
            <w:szCs w:val="30"/>
            <w:u w:val="single"/>
          </w:rPr>
          <w:t>Informacje w innych językach</w:t>
        </w:r>
        <w:r>
          <w:rPr>
            <w:rFonts w:ascii="Arial" w:hAnsi="Arial"/>
            <w:b/>
            <w:bCs/>
            <w:color w:val="800080"/>
            <w:sz w:val="30"/>
            <w:szCs w:val="30"/>
            <w:u w:val="single"/>
          </w:rPr>
          <w:br/>
        </w:r>
        <w:r>
          <w:rPr>
            <w:rFonts w:ascii="Arial" w:hAnsi="Arial"/>
            <w:b/>
            <w:bCs/>
            <w:color w:val="800080"/>
            <w:sz w:val="30"/>
            <w:szCs w:val="30"/>
            <w:u w:val="single"/>
          </w:rPr>
          <w:br/>
        </w:r>
      </w:hyperlink>
    </w:p>
    <w:p w14:paraId="34809A5B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r>
        <w:rPr>
          <w:rFonts w:ascii="inherit" w:hAnsi="inherit"/>
          <w:b/>
          <w:bCs/>
          <w:color w:val="00B8E4"/>
          <w:sz w:val="36"/>
          <w:szCs w:val="36"/>
        </w:rPr>
        <w:t>Informacje ogólne</w:t>
      </w:r>
      <w:r>
        <w:rPr>
          <w:rFonts w:ascii="Tahoma" w:hAnsi="Tahoma"/>
          <w:b/>
          <w:bCs/>
          <w:color w:val="00B8E4"/>
          <w:sz w:val="36"/>
          <w:szCs w:val="36"/>
        </w:rPr>
        <w:t>﻿</w:t>
      </w:r>
    </w:p>
    <w:p w14:paraId="44AE6A2D" w14:textId="2BC19216" w:rsidR="005F5258" w:rsidRPr="00B109BA" w:rsidRDefault="005F5258" w:rsidP="005F5258">
      <w:pPr>
        <w:spacing w:after="100" w:afterAutospacing="1" w:line="240" w:lineRule="auto"/>
        <w:rPr>
          <w:rFonts w:ascii="Times New Roman" w:hAnsi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 xml:space="preserve">Ponieważ Program został utworzony w ramach zarządu powierniczego, Twoje środki zgromadzone na emeryturę i aktywa w ramach Programu są prawnie odrębne od aktywów </w:t>
      </w:r>
      <w:proofErr w:type="spellStart"/>
      <w:r w:rsidR="00B109BA" w:rsidRPr="00B109BA">
        <w:rPr>
          <w:rFonts w:ascii="Times New Roman" w:hAnsi="Times New Roman"/>
          <w:color w:val="5F6062"/>
          <w:sz w:val="24"/>
          <w:szCs w:val="24"/>
        </w:rPr>
        <w:t>People’s</w:t>
      </w:r>
      <w:proofErr w:type="spellEnd"/>
      <w:r w:rsidR="00B109BA" w:rsidRPr="00B109BA">
        <w:rPr>
          <w:rFonts w:ascii="Times New Roman" w:hAnsi="Times New Roman"/>
          <w:color w:val="5F6062"/>
          <w:sz w:val="24"/>
          <w:szCs w:val="24"/>
        </w:rPr>
        <w:t xml:space="preserve"> </w:t>
      </w:r>
      <w:proofErr w:type="spellStart"/>
      <w:r w:rsidR="00B109BA" w:rsidRPr="00B109BA">
        <w:rPr>
          <w:rFonts w:ascii="Times New Roman" w:hAnsi="Times New Roman"/>
          <w:color w:val="5F6062"/>
          <w:sz w:val="24"/>
          <w:szCs w:val="24"/>
        </w:rPr>
        <w:t>Partnership</w:t>
      </w:r>
      <w:proofErr w:type="spellEnd"/>
      <w:r w:rsidR="00B109BA" w:rsidRPr="00B109BA">
        <w:rPr>
          <w:rFonts w:ascii="Times New Roman" w:hAnsi="Times New Roman"/>
          <w:color w:val="5F606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i Twojego pracodawcy. Zapewnia to bezpieczeństwo pieniędzy. Więcej informacji, patrz „Co zrobić, jeśli coś pójdzie nie tak?”.</w:t>
      </w:r>
    </w:p>
    <w:p w14:paraId="722C275F" w14:textId="0E1C8555" w:rsidR="005F5258" w:rsidRPr="00B109BA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Spółka People’s Pension Trustee Limited (Powiernik), której dyrektorzy są niezależni od </w:t>
      </w:r>
      <w:proofErr w:type="spellStart"/>
      <w:r w:rsidR="00B109BA" w:rsidRPr="00B109BA">
        <w:rPr>
          <w:rFonts w:ascii="Times New Roman" w:hAnsi="Times New Roman"/>
          <w:color w:val="5F6062"/>
          <w:sz w:val="24"/>
          <w:szCs w:val="24"/>
        </w:rPr>
        <w:t>People’s</w:t>
      </w:r>
      <w:proofErr w:type="spellEnd"/>
      <w:r w:rsidR="00B109BA" w:rsidRPr="00B109BA">
        <w:rPr>
          <w:rFonts w:ascii="Times New Roman" w:hAnsi="Times New Roman"/>
          <w:color w:val="5F6062"/>
          <w:sz w:val="24"/>
          <w:szCs w:val="24"/>
        </w:rPr>
        <w:t xml:space="preserve"> </w:t>
      </w:r>
      <w:proofErr w:type="spellStart"/>
      <w:r w:rsidR="00B109BA" w:rsidRPr="00B109BA">
        <w:rPr>
          <w:rFonts w:ascii="Times New Roman" w:hAnsi="Times New Roman"/>
          <w:color w:val="5F6062"/>
          <w:sz w:val="24"/>
          <w:szCs w:val="24"/>
        </w:rPr>
        <w:t>Partnership</w:t>
      </w:r>
      <w:proofErr w:type="spellEnd"/>
      <w:r>
        <w:rPr>
          <w:rFonts w:ascii="Times New Roman" w:hAnsi="Times New Roman"/>
          <w:color w:val="5F6062"/>
          <w:sz w:val="24"/>
          <w:szCs w:val="24"/>
        </w:rPr>
        <w:t>,</w:t>
      </w:r>
      <w:r w:rsidRPr="00B109BA">
        <w:rPr>
          <w:rFonts w:ascii="Times New Roman" w:hAnsi="Times New Roman"/>
          <w:color w:val="5F606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 xml:space="preserve">zarządza Programem zgodnie z obowiązującą umową powierniczą i regulaminem Programu. Powiernik jest również odpowiedzialny za inwestycję środków zgromadzonych na emeryturę zgodnie z wszelkimi wydanymi przez Ciebie instrukcjami. Obowiązkiem Powiernika jest przestrzeganie warunków funduszu powierniczego i działanie w najlepszym interesie członków programu i </w:t>
      </w:r>
      <w:r w:rsidRPr="00B109BA">
        <w:rPr>
          <w:rFonts w:ascii="Times New Roman" w:hAnsi="Times New Roman"/>
          <w:color w:val="5F6062"/>
          <w:sz w:val="24"/>
          <w:szCs w:val="24"/>
        </w:rPr>
        <w:t>innych beneficjentów.</w:t>
      </w:r>
    </w:p>
    <w:p w14:paraId="22EF5E5A" w14:textId="483E0071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 w:rsidRPr="00B109BA">
        <w:rPr>
          <w:rFonts w:ascii="Times New Roman" w:hAnsi="Times New Roman"/>
          <w:color w:val="5F6062"/>
          <w:sz w:val="24"/>
          <w:szCs w:val="24"/>
        </w:rPr>
        <w:t xml:space="preserve">Powiernik wyznaczył </w:t>
      </w:r>
      <w:proofErr w:type="spellStart"/>
      <w:r w:rsidR="00B109BA" w:rsidRPr="00B109BA">
        <w:rPr>
          <w:rFonts w:ascii="Times New Roman" w:hAnsi="Times New Roman"/>
          <w:color w:val="5F6062"/>
          <w:sz w:val="24"/>
          <w:szCs w:val="24"/>
        </w:rPr>
        <w:t>People’s</w:t>
      </w:r>
      <w:proofErr w:type="spellEnd"/>
      <w:r w:rsidR="00B109BA" w:rsidRPr="00B109BA">
        <w:rPr>
          <w:rFonts w:ascii="Times New Roman" w:hAnsi="Times New Roman"/>
          <w:color w:val="5F6062"/>
          <w:sz w:val="24"/>
          <w:szCs w:val="24"/>
        </w:rPr>
        <w:t xml:space="preserve"> Administration Services Limited </w:t>
      </w:r>
      <w:r w:rsidRPr="00B109BA">
        <w:rPr>
          <w:rFonts w:ascii="Times New Roman" w:hAnsi="Times New Roman"/>
          <w:color w:val="5F6062"/>
          <w:sz w:val="24"/>
          <w:szCs w:val="24"/>
        </w:rPr>
        <w:t xml:space="preserve">(spółkę należącą do </w:t>
      </w:r>
      <w:r w:rsidR="00F05299">
        <w:rPr>
          <w:rFonts w:ascii="Times New Roman" w:hAnsi="Times New Roman"/>
          <w:color w:val="5F6062"/>
          <w:sz w:val="24"/>
          <w:szCs w:val="24"/>
        </w:rPr>
        <w:t>G</w:t>
      </w:r>
      <w:r w:rsidRPr="00B109BA">
        <w:rPr>
          <w:rFonts w:ascii="Times New Roman" w:hAnsi="Times New Roman"/>
          <w:color w:val="5F6062"/>
          <w:sz w:val="24"/>
          <w:szCs w:val="24"/>
        </w:rPr>
        <w:t xml:space="preserve">rupy </w:t>
      </w:r>
      <w:proofErr w:type="spellStart"/>
      <w:r w:rsidR="00B109BA" w:rsidRPr="00B109BA">
        <w:rPr>
          <w:rFonts w:ascii="Times New Roman" w:hAnsi="Times New Roman"/>
          <w:color w:val="5F6062"/>
          <w:sz w:val="24"/>
          <w:szCs w:val="24"/>
        </w:rPr>
        <w:t>People’s</w:t>
      </w:r>
      <w:proofErr w:type="spellEnd"/>
      <w:r w:rsidR="00B109BA" w:rsidRPr="00B109BA">
        <w:rPr>
          <w:rFonts w:ascii="Times New Roman" w:hAnsi="Times New Roman"/>
          <w:color w:val="5F6062"/>
          <w:sz w:val="24"/>
          <w:szCs w:val="24"/>
        </w:rPr>
        <w:t xml:space="preserve"> </w:t>
      </w:r>
      <w:proofErr w:type="spellStart"/>
      <w:r w:rsidR="00B109BA" w:rsidRPr="00B109BA">
        <w:rPr>
          <w:rFonts w:ascii="Times New Roman" w:hAnsi="Times New Roman"/>
          <w:color w:val="5F6062"/>
          <w:sz w:val="24"/>
          <w:szCs w:val="24"/>
        </w:rPr>
        <w:t>Partnership</w:t>
      </w:r>
      <w:proofErr w:type="spellEnd"/>
      <w:r w:rsidRPr="00B109BA">
        <w:rPr>
          <w:rFonts w:ascii="Times New Roman" w:hAnsi="Times New Roman"/>
          <w:color w:val="5F6062"/>
          <w:sz w:val="24"/>
          <w:szCs w:val="24"/>
        </w:rPr>
        <w:t>) do zarządzania bieżącym funkcjonowaniem Programu.</w:t>
      </w:r>
    </w:p>
    <w:p w14:paraId="54035978" w14:textId="77777777" w:rsidR="005F5258" w:rsidRPr="0015644A" w:rsidRDefault="00F05299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  <w:lang w:val="en-GB"/>
        </w:rPr>
      </w:pPr>
      <w:hyperlink r:id="rId6" w:history="1">
        <w:proofErr w:type="spellStart"/>
        <w:r w:rsidR="00B03FFB" w:rsidRPr="0015644A">
          <w:rPr>
            <w:rFonts w:ascii="Times New Roman" w:hAnsi="Times New Roman"/>
            <w:color w:val="03667E"/>
            <w:sz w:val="24"/>
            <w:szCs w:val="24"/>
            <w:u w:val="single"/>
            <w:lang w:val="en-GB"/>
          </w:rPr>
          <w:t>Poznaj</w:t>
        </w:r>
        <w:proofErr w:type="spellEnd"/>
        <w:r w:rsidR="00B03FFB" w:rsidRPr="0015644A">
          <w:rPr>
            <w:rFonts w:ascii="Times New Roman" w:hAnsi="Times New Roman"/>
            <w:color w:val="03667E"/>
            <w:sz w:val="24"/>
            <w:szCs w:val="24"/>
            <w:u w:val="single"/>
            <w:lang w:val="en-GB"/>
          </w:rPr>
          <w:t xml:space="preserve"> The People’s Pension Trustee</w:t>
        </w:r>
      </w:hyperlink>
    </w:p>
    <w:p w14:paraId="1F8C21F8" w14:textId="77777777" w:rsidR="005F5258" w:rsidRPr="0015644A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  <w:lang w:val="en-GB"/>
        </w:rPr>
      </w:pPr>
      <w:proofErr w:type="spellStart"/>
      <w:r w:rsidRPr="0015644A">
        <w:rPr>
          <w:rFonts w:ascii="inherit" w:hAnsi="inherit"/>
          <w:b/>
          <w:bCs/>
          <w:color w:val="00B8E4"/>
          <w:sz w:val="36"/>
          <w:szCs w:val="36"/>
          <w:lang w:val="en-GB"/>
        </w:rPr>
        <w:t>Regulacja</w:t>
      </w:r>
      <w:proofErr w:type="spellEnd"/>
      <w:r>
        <w:rPr>
          <w:rFonts w:ascii="Tahoma" w:hAnsi="Tahoma"/>
          <w:b/>
          <w:bCs/>
          <w:color w:val="00B8E4"/>
          <w:sz w:val="36"/>
          <w:szCs w:val="36"/>
        </w:rPr>
        <w:t>﻿</w:t>
      </w:r>
    </w:p>
    <w:p w14:paraId="5DFFE49C" w14:textId="77777777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Ustawa emerytalna, której Program musi przestrzegać, jest złożona i zawiera szereg wymagań dotyczących ochrony członków.</w:t>
      </w:r>
    </w:p>
    <w:p w14:paraId="3CF21362" w14:textId="613F932E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 xml:space="preserve">Ponadto Program jest zarejestrowany przez 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The Pensions Regulator</w:t>
      </w:r>
      <w:r>
        <w:rPr>
          <w:rFonts w:ascii="Times New Roman" w:hAnsi="Times New Roman"/>
          <w:color w:val="5F6062"/>
          <w:sz w:val="24"/>
          <w:szCs w:val="24"/>
        </w:rPr>
        <w:t xml:space="preserve">, brytyjski organ regulacyjny ds. pracowniczych programów emerytalnych. 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The Pensions Regulator</w:t>
      </w:r>
      <w:r>
        <w:rPr>
          <w:rFonts w:ascii="Times New Roman" w:hAnsi="Times New Roman"/>
          <w:color w:val="5F6062"/>
          <w:sz w:val="24"/>
          <w:szCs w:val="24"/>
        </w:rPr>
        <w:t xml:space="preserve"> sprawuje nadzór nad prowadzeniem systemów emerytalnych i może interweniować w przypadkach, w których powiernicy, pracodawcy lub doradcy programu nie wywiązują się ze swoich obowiązków. Cele 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The Pensions Regulator</w:t>
      </w:r>
      <w:r>
        <w:rPr>
          <w:rFonts w:ascii="Times New Roman" w:hAnsi="Times New Roman"/>
          <w:color w:val="5F6062"/>
          <w:sz w:val="24"/>
          <w:szCs w:val="24"/>
        </w:rPr>
        <w:t xml:space="preserve"> obejmują poprawę zaufania wobec emerytur poprzez ochronę oszczędności członków i zachęcanie do utrzymywania wysokich standardów w zakresie prowadzenia programów emerytalnych.</w:t>
      </w:r>
    </w:p>
    <w:p w14:paraId="2DDE60DB" w14:textId="5DCB4E78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lastRenderedPageBreak/>
        <w:t>Powiernik zapewnia, że Program spełnia przepisy ustawy emerytalnej i innych Kodeksów postępowania [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Codes of Practice</w:t>
      </w:r>
      <w:r>
        <w:rPr>
          <w:rFonts w:ascii="Times New Roman" w:hAnsi="Times New Roman"/>
          <w:color w:val="5F6062"/>
          <w:sz w:val="24"/>
          <w:szCs w:val="24"/>
        </w:rPr>
        <w:t>] oraz wytyczne wydane przez 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The Pensions Regulator</w:t>
      </w:r>
      <w:r>
        <w:rPr>
          <w:rFonts w:ascii="Times New Roman" w:hAnsi="Times New Roman"/>
          <w:color w:val="5F6062"/>
          <w:sz w:val="24"/>
          <w:szCs w:val="24"/>
        </w:rPr>
        <w:t>.</w:t>
      </w:r>
    </w:p>
    <w:p w14:paraId="47368B9F" w14:textId="2950EF47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Program jest również zarejestrowany do celów podatkowych w HM Revenue &amp; Customs. Zapewnia to korzystne opodatkowanie Twoich oszczędności.</w:t>
      </w:r>
    </w:p>
    <w:p w14:paraId="12973957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r>
        <w:rPr>
          <w:rFonts w:ascii="inherit" w:hAnsi="inherit"/>
          <w:b/>
          <w:bCs/>
          <w:color w:val="00B8E4"/>
          <w:sz w:val="36"/>
          <w:szCs w:val="36"/>
        </w:rPr>
        <w:t>Co zrobić, jeśli coś pójdzie nie tak?</w:t>
      </w:r>
    </w:p>
    <w:p w14:paraId="44B77456" w14:textId="3F979384" w:rsidR="002D022B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Jeżeli pracodawca stanie się niewypłacalny, Twoja emerytura będzie bezpieczna, gdyż aktywa zgromadzone w ramach Programu są odrębne. W związku z tym nie będą dostępne dla wierzycieli pracodawcy.</w:t>
      </w:r>
    </w:p>
    <w:p w14:paraId="0E1C9534" w14:textId="58ABAB1B" w:rsidR="005F5258" w:rsidRDefault="002B1812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To samo dotyczy sytuacji, w której niewypłacalna stałaby się firma People’s Financial Services Limited.</w:t>
      </w:r>
    </w:p>
    <w:p w14:paraId="4CD00E3D" w14:textId="589B45B5" w:rsidR="004B6A4E" w:rsidRDefault="004B6A4E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Jeżeli Program zakończy się i Powiernik postanowi go zlikwidować, środki zgromadzone na emeryturę są chronione i nie mogą być użyte do pokrycia kosztów likwidacji Programu.</w:t>
      </w:r>
    </w:p>
    <w:p w14:paraId="57C0B327" w14:textId="0B280C03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Jeśli administrator Programu (</w:t>
      </w:r>
      <w:proofErr w:type="spellStart"/>
      <w:r w:rsidR="00B109BA" w:rsidRPr="00B109BA">
        <w:rPr>
          <w:rFonts w:ascii="Times New Roman" w:hAnsi="Times New Roman"/>
          <w:color w:val="5F6062"/>
          <w:sz w:val="24"/>
          <w:szCs w:val="24"/>
        </w:rPr>
        <w:t>People’s</w:t>
      </w:r>
      <w:proofErr w:type="spellEnd"/>
      <w:r w:rsidR="00B109BA" w:rsidRPr="00B109BA">
        <w:rPr>
          <w:rFonts w:ascii="Times New Roman" w:hAnsi="Times New Roman"/>
          <w:color w:val="5F6062"/>
          <w:sz w:val="24"/>
          <w:szCs w:val="24"/>
        </w:rPr>
        <w:t xml:space="preserve"> Administration Services Limited</w:t>
      </w:r>
      <w:r>
        <w:rPr>
          <w:rFonts w:ascii="Times New Roman" w:hAnsi="Times New Roman"/>
          <w:color w:val="5F6062"/>
          <w:sz w:val="24"/>
          <w:szCs w:val="24"/>
        </w:rPr>
        <w:t>) stanie się niewypłacalny, Powiernik wyznaczy nowych administratorów do obsługi Programu.</w:t>
      </w:r>
    </w:p>
    <w:p w14:paraId="16A5C5BF" w14:textId="5C6C5903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Jeżeli firma powiernicza stałaby się niewypłacalna, wyznaczeni zostaną nowi powiernicy. Nie wpłynie to na aktywa Programu ani oszczędności emerytalne.</w:t>
      </w:r>
    </w:p>
    <w:p w14:paraId="709FFD69" w14:textId="5FE995E9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Jeśli zarządca, State Street Global Advisors Limited (SSGA) lub inni wyznaczeni zarządcy inwestycyjni staną się niewypłacalni, zostaną wyznaczeni nowi zarządcy inwestycyjni. Możliwe jest, że inwestycje programu prowadzone przez Powiernika, w sytuacjach ekstremalnych, mogą mieć wpływ na niewypłacalność zarządcy inwestycyjnego. Niemniej jednak zapewniona została znaczna ochrona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.</w:t>
      </w:r>
    </w:p>
    <w:p w14:paraId="44C99ADB" w14:textId="709A50F8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Obecnie wszystkie składki są inwestowane przez SSGA w wysoko cenione, główne fundusze inwestycyjne z różnych źródeł [mainstream pooled investment funds], uzyskiwane dzięki długoterminowej umowie ubezpieczeniowej z Managed Pension Funds Limited. Jest to typowa struktura inwestycyjna wykorzystywana przez wiele funduszy emerytalnych w Wielkiej Brytanii. Ma ona zapewnić lepszą ochronę oszczędności emerytalnych członków.</w:t>
      </w:r>
    </w:p>
    <w:p w14:paraId="0546AB30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bookmarkStart w:id="0" w:name="_Hlk528305706"/>
      <w:r>
        <w:rPr>
          <w:rFonts w:ascii="inherit" w:hAnsi="inherit"/>
          <w:b/>
          <w:bCs/>
          <w:color w:val="00B8E4"/>
          <w:sz w:val="36"/>
          <w:szCs w:val="36"/>
        </w:rPr>
        <w:t>Program gwarantowania usług finansowych</w:t>
      </w:r>
    </w:p>
    <w:p w14:paraId="03220BEF" w14:textId="0A3A89BF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Jeśli Managed Pension Funds Limited stanie się niewypłacalne, może być możliwe odzyskanie choć części deficytu z programu gwarantowania usług finansowych (The Financial Services Compensation Scheme – FSCS), chociaż uważamy, że ta opcja nie została jeszcze przetestowana. Więcej informacji można znaleźć na stronie </w:t>
      </w:r>
      <w:hyperlink r:id="rId7" w:history="1">
        <w:r>
          <w:rPr>
            <w:rFonts w:ascii="Times New Roman" w:hAnsi="Times New Roman"/>
            <w:color w:val="03667E"/>
            <w:sz w:val="24"/>
            <w:szCs w:val="24"/>
            <w:u w:val="single"/>
          </w:rPr>
          <w:t>www.fscs.org.uk</w:t>
        </w:r>
      </w:hyperlink>
      <w:r>
        <w:rPr>
          <w:rFonts w:ascii="Times New Roman" w:hAnsi="Times New Roman"/>
          <w:color w:val="5F6062"/>
          <w:sz w:val="24"/>
          <w:szCs w:val="24"/>
        </w:rPr>
        <w:t>. Należy zauważyć, że jeśli dojdzie do niewypłacalności tego rodzaju, która w ostatecznym rozrachunku ma szkodliwy wpływ na środki zgromadzone przez członków na emeryturę, byłoby to uważane za zjawisko skrajne. Powiernik Programu skrupulatnie kontroluje wszystkich zarządców inwestycyjnych w oparciu o niezależne porady inwestycyjne od renomowanej firmy doradczej autoryzowanej przez brytyjski Urząd Kontroli Finansowej [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Financial Conduct – Authority, FCA</w:t>
      </w:r>
      <w:r>
        <w:rPr>
          <w:rFonts w:ascii="Times New Roman" w:hAnsi="Times New Roman"/>
          <w:color w:val="5F6062"/>
          <w:sz w:val="24"/>
          <w:szCs w:val="24"/>
        </w:rPr>
        <w:t>].</w:t>
      </w:r>
    </w:p>
    <w:p w14:paraId="4C308BD7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r>
        <w:rPr>
          <w:rFonts w:ascii="inherit" w:hAnsi="inherit"/>
          <w:b/>
          <w:bCs/>
          <w:color w:val="00B8E4"/>
          <w:sz w:val="36"/>
          <w:szCs w:val="36"/>
        </w:rPr>
        <w:lastRenderedPageBreak/>
        <w:t>Renty na emeryturze</w:t>
      </w:r>
    </w:p>
    <w:p w14:paraId="0BA9BBDF" w14:textId="6B213EB7" w:rsidR="009C66C6" w:rsidRDefault="005F5258" w:rsidP="00455B5F">
      <w:pPr>
        <w:spacing w:after="100" w:afterAutospacing="1" w:line="240" w:lineRule="auto"/>
      </w:pPr>
      <w:r>
        <w:rPr>
          <w:rFonts w:ascii="Times New Roman" w:hAnsi="Times New Roman"/>
          <w:color w:val="5F6062"/>
          <w:sz w:val="24"/>
          <w:szCs w:val="24"/>
        </w:rPr>
        <w:t>Niektórzy członkowie pobierają świadczenia emerytalne w ramach Programu dzięki wykupieniu renty [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annuity</w:t>
      </w:r>
      <w:r>
        <w:rPr>
          <w:rFonts w:ascii="Times New Roman" w:hAnsi="Times New Roman"/>
          <w:color w:val="5F6062"/>
          <w:sz w:val="24"/>
          <w:szCs w:val="24"/>
        </w:rPr>
        <w:t>] w firmie ubezpieczeniowej. W przypadku niewywiązania się przez firmę ubezpieczeniową ze swoich zobowiązań z powodu niewypłacalności, członkom może przysługiwać odszkodowanie z programu gwarantowania usług finansowych. Najwyższy poziom ochrony w FSCS wynosi obecnie 100% dochodu emerytalnego pobieranego z tego produktu w formie świadczenia przypadającego do zapłaty.</w:t>
      </w:r>
      <w:bookmarkEnd w:id="0"/>
    </w:p>
    <w:sectPr w:rsidR="009C6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0E06"/>
    <w:multiLevelType w:val="hybridMultilevel"/>
    <w:tmpl w:val="ACFA74B6"/>
    <w:lvl w:ilvl="0" w:tplc="347CD9F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23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wMjQ0NjEzMbUwMzRX0lEKTi0uzszPAykwrgUAV2QorywAAAA="/>
  </w:docVars>
  <w:rsids>
    <w:rsidRoot w:val="005F5258"/>
    <w:rsid w:val="0009546B"/>
    <w:rsid w:val="00104984"/>
    <w:rsid w:val="0015644A"/>
    <w:rsid w:val="00222C15"/>
    <w:rsid w:val="002979B3"/>
    <w:rsid w:val="002B1812"/>
    <w:rsid w:val="002B4875"/>
    <w:rsid w:val="002D022B"/>
    <w:rsid w:val="0034348A"/>
    <w:rsid w:val="003704DE"/>
    <w:rsid w:val="003F3BCE"/>
    <w:rsid w:val="00455B5F"/>
    <w:rsid w:val="004B6A4E"/>
    <w:rsid w:val="004C532F"/>
    <w:rsid w:val="00532361"/>
    <w:rsid w:val="00582925"/>
    <w:rsid w:val="005F5258"/>
    <w:rsid w:val="006431D3"/>
    <w:rsid w:val="007760CB"/>
    <w:rsid w:val="00784B82"/>
    <w:rsid w:val="008C60BA"/>
    <w:rsid w:val="00971F06"/>
    <w:rsid w:val="009C66C6"/>
    <w:rsid w:val="00AB064B"/>
    <w:rsid w:val="00AC5832"/>
    <w:rsid w:val="00B03FFB"/>
    <w:rsid w:val="00B109BA"/>
    <w:rsid w:val="00C3649B"/>
    <w:rsid w:val="00C54D01"/>
    <w:rsid w:val="00D720EE"/>
    <w:rsid w:val="00D72472"/>
    <w:rsid w:val="00DF13F5"/>
    <w:rsid w:val="00E57528"/>
    <w:rsid w:val="00EC5D58"/>
    <w:rsid w:val="00EF130C"/>
    <w:rsid w:val="00F05299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541D"/>
  <w15:chartTrackingRefBased/>
  <w15:docId w15:val="{DAD792F7-7599-435D-BC70-9DBAFBAF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2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5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2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130C"/>
    <w:pPr>
      <w:spacing w:after="0" w:line="240" w:lineRule="auto"/>
    </w:pPr>
  </w:style>
  <w:style w:type="character" w:customStyle="1" w:styleId="cf01">
    <w:name w:val="cf01"/>
    <w:basedOn w:val="DefaultParagraphFont"/>
    <w:rsid w:val="00B109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c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peoplespension.co.uk/the-peoples-pension-trustee/" TargetMode="External"/><Relationship Id="rId5" Type="http://schemas.openxmlformats.org/officeDocument/2006/relationships/hyperlink" Target="https://thepeoplespension.co.uk/accessibility/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4811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Mulji</dc:creator>
  <cp:keywords/>
  <dc:description/>
  <cp:lastModifiedBy>Michelle Cooke</cp:lastModifiedBy>
  <cp:revision>8</cp:revision>
  <dcterms:created xsi:type="dcterms:W3CDTF">2018-10-26T10:58:00Z</dcterms:created>
  <dcterms:modified xsi:type="dcterms:W3CDTF">2022-11-21T10:16:00Z</dcterms:modified>
</cp:coreProperties>
</file>